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38"/>
        <w:gridCol w:w="6520"/>
        <w:gridCol w:w="1856"/>
      </w:tblGrid>
      <w:tr w:rsidR="006B0435" w:rsidRPr="00DC0DEE" w:rsidTr="008E1B40">
        <w:trPr>
          <w:trHeight w:val="1967"/>
          <w:jc w:val="center"/>
        </w:trPr>
        <w:tc>
          <w:tcPr>
            <w:tcW w:w="2138" w:type="dxa"/>
            <w:shd w:val="clear" w:color="auto" w:fill="DEEAF6" w:themeFill="accent1" w:themeFillTint="33"/>
            <w:vAlign w:val="center"/>
          </w:tcPr>
          <w:p w:rsidR="006B0435" w:rsidRPr="008E1B40" w:rsidRDefault="006B0435" w:rsidP="008E1B40">
            <w:pPr>
              <w:jc w:val="center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  <w:r w:rsidRPr="00EF5B66">
              <w:rPr>
                <w:rFonts w:cs="B Nazanin"/>
                <w:noProof/>
                <w:color w:val="2F5496" w:themeColor="accent5" w:themeShade="BF"/>
                <w:sz w:val="28"/>
                <w:szCs w:val="28"/>
                <w:lang w:bidi="ar-SA"/>
              </w:rPr>
              <w:drawing>
                <wp:inline distT="0" distB="0" distL="0" distR="0" wp14:anchorId="094E279F" wp14:editId="1652BCF4">
                  <wp:extent cx="698283" cy="1009291"/>
                  <wp:effectExtent l="0" t="0" r="6985" b="635"/>
                  <wp:docPr id="1" name="Picture 1" descr="E:\1- حوزه مشکات\متفرقه\لوگوی جدید حوزه مشکا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- حوزه مشکات\متفرقه\لوگوی جدید حوزه مشکا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831" cy="101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DEEAF6" w:themeFill="accent1" w:themeFillTint="33"/>
          </w:tcPr>
          <w:p w:rsidR="006B0435" w:rsidRDefault="006B0435" w:rsidP="0075624C">
            <w:pPr>
              <w:spacing w:line="180" w:lineRule="auto"/>
              <w:jc w:val="center"/>
              <w:rPr>
                <w:rFonts w:cs="B Nazanin"/>
                <w:b/>
                <w:bCs/>
                <w:sz w:val="56"/>
                <w:szCs w:val="56"/>
                <w:rtl/>
              </w:rPr>
            </w:pPr>
            <w:r w:rsidRPr="006B0435">
              <w:rPr>
                <w:rFonts w:cs="EntezareZohoor 1 **" w:hint="cs"/>
                <w:b/>
                <w:bCs/>
                <w:sz w:val="56"/>
                <w:szCs w:val="56"/>
                <w:rtl/>
              </w:rPr>
              <w:t>ﺇ</w:t>
            </w:r>
          </w:p>
          <w:p w:rsidR="00FA5440" w:rsidRPr="00FA5440" w:rsidRDefault="00FA5440" w:rsidP="0075624C">
            <w:pPr>
              <w:spacing w:line="1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B0435" w:rsidRPr="00FA5440" w:rsidRDefault="006B0435" w:rsidP="00FA5440">
            <w:pPr>
              <w:spacing w:line="192" w:lineRule="auto"/>
              <w:jc w:val="center"/>
              <w:rPr>
                <w:rFonts w:ascii="IRZar" w:hAnsi="IRZar" w:cs="IRZar"/>
                <w:b/>
                <w:bCs/>
                <w:color w:val="C00000"/>
                <w:sz w:val="36"/>
                <w:szCs w:val="36"/>
                <w:rtl/>
              </w:rPr>
            </w:pPr>
            <w:r w:rsidRPr="00FA5440">
              <w:rPr>
                <w:rFonts w:ascii="IRZar" w:hAnsi="IRZar" w:cs="IRZar" w:hint="cs"/>
                <w:b/>
                <w:bCs/>
                <w:color w:val="C00000"/>
                <w:sz w:val="36"/>
                <w:szCs w:val="36"/>
                <w:rtl/>
              </w:rPr>
              <w:t>کاربرگ معرفی اجمالی انجمن یا رشته تخصصی</w:t>
            </w:r>
          </w:p>
        </w:tc>
        <w:tc>
          <w:tcPr>
            <w:tcW w:w="1856" w:type="dxa"/>
            <w:shd w:val="clear" w:color="auto" w:fill="DEEAF6" w:themeFill="accent1" w:themeFillTint="33"/>
            <w:vAlign w:val="center"/>
          </w:tcPr>
          <w:p w:rsidR="008E1B40" w:rsidRDefault="008E1B40" w:rsidP="008E1B40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color w:val="2F5496" w:themeColor="accent5" w:themeShade="BF"/>
                <w:sz w:val="28"/>
                <w:szCs w:val="28"/>
                <w:rtl/>
                <w:lang w:bidi="ar-SA"/>
              </w:rPr>
            </w:pPr>
            <w:r>
              <w:rPr>
                <w:rFonts w:cs="B Nazanin" w:hint="cs"/>
                <w:b/>
                <w:bCs/>
                <w:noProof/>
                <w:color w:val="2F5496" w:themeColor="accent5" w:themeShade="BF"/>
                <w:sz w:val="28"/>
                <w:szCs w:val="28"/>
                <w:rtl/>
                <w:lang w:bidi="ar-SA"/>
              </w:rPr>
              <w:t>مرکز تخصصی امام خمینی(ره)</w:t>
            </w:r>
          </w:p>
          <w:p w:rsidR="006B0435" w:rsidRPr="008E1B40" w:rsidRDefault="008E1B40" w:rsidP="008E1B40">
            <w:pPr>
              <w:spacing w:line="276" w:lineRule="auto"/>
              <w:jc w:val="center"/>
              <w:rPr>
                <w:rFonts w:ascii="IranNastaliq" w:hAnsi="IranNastaliq" w:cs="IranNastaliq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E1B40">
              <w:rPr>
                <w:rFonts w:cs="B Nazanin" w:hint="cs"/>
                <w:b/>
                <w:bCs/>
                <w:noProof/>
                <w:color w:val="2F5496" w:themeColor="accent5" w:themeShade="BF"/>
                <w:sz w:val="28"/>
                <w:szCs w:val="28"/>
                <w:rtl/>
                <w:lang w:bidi="ar-SA"/>
              </w:rPr>
              <w:t>شعبه تهران</w:t>
            </w:r>
          </w:p>
        </w:tc>
      </w:tr>
      <w:tr w:rsidR="00F473DB" w:rsidRPr="00DC0DEE" w:rsidTr="00F473DB">
        <w:trPr>
          <w:trHeight w:val="1967"/>
          <w:jc w:val="center"/>
        </w:trPr>
        <w:tc>
          <w:tcPr>
            <w:tcW w:w="10514" w:type="dxa"/>
            <w:gridSpan w:val="3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F473DB" w:rsidRDefault="00F473DB" w:rsidP="00F473DB">
            <w:pPr>
              <w:pStyle w:val="ListParagraph"/>
              <w:ind w:left="375"/>
              <w:jc w:val="both"/>
              <w:rPr>
                <w:rFonts w:cs="B Lotus"/>
                <w:sz w:val="32"/>
                <w:szCs w:val="32"/>
                <w:rtl/>
              </w:rPr>
            </w:pPr>
            <w:r w:rsidRPr="00FA5440">
              <w:rPr>
                <w:rFonts w:cs="B Lotus" w:hint="cs"/>
                <w:b/>
                <w:bCs/>
                <w:sz w:val="32"/>
                <w:szCs w:val="32"/>
                <w:rtl/>
              </w:rPr>
              <w:t>نکات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 مقدماتی</w:t>
            </w:r>
            <w:r>
              <w:rPr>
                <w:rFonts w:cs="B Lotus" w:hint="cs"/>
                <w:sz w:val="32"/>
                <w:szCs w:val="32"/>
                <w:rtl/>
              </w:rPr>
              <w:t>:</w:t>
            </w:r>
          </w:p>
          <w:p w:rsidR="00F473DB" w:rsidRPr="00FA5440" w:rsidRDefault="00F473DB" w:rsidP="00F473DB">
            <w:pPr>
              <w:pStyle w:val="ListParagraph"/>
              <w:numPr>
                <w:ilvl w:val="0"/>
                <w:numId w:val="5"/>
              </w:numPr>
              <w:pBdr>
                <w:bottom w:val="single" w:sz="4" w:space="1" w:color="auto"/>
              </w:pBdr>
              <w:jc w:val="both"/>
              <w:rPr>
                <w:rFonts w:cs="B Lotus"/>
                <w:sz w:val="28"/>
                <w:szCs w:val="28"/>
              </w:rPr>
            </w:pPr>
            <w:r w:rsidRPr="00FA5440">
              <w:rPr>
                <w:rFonts w:cs="B Lotus" w:hint="cs"/>
                <w:sz w:val="28"/>
                <w:szCs w:val="28"/>
                <w:rtl/>
              </w:rPr>
              <w:t xml:space="preserve">مطابق مصوبه 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جلسه شماره 64 </w:t>
            </w:r>
            <w:r w:rsidRPr="00FA5440">
              <w:rPr>
                <w:rFonts w:cs="B Lotus" w:hint="cs"/>
                <w:sz w:val="28"/>
                <w:szCs w:val="28"/>
                <w:rtl/>
              </w:rPr>
              <w:t>هیأت امنا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(مورخ 16 تیر 1400)</w:t>
            </w:r>
            <w:r w:rsidRPr="00FA5440">
              <w:rPr>
                <w:rFonts w:cs="B Lotus" w:hint="cs"/>
                <w:sz w:val="28"/>
                <w:szCs w:val="28"/>
                <w:rtl/>
              </w:rPr>
              <w:t>، طلاب محترم دوره تخصص تهران می توانند به صورت رسمی دارای انجمن تخصصی یا رشته علمی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در تهران باشند که این کاربرگ در راستای تأسیس این رشته‌ها و انجمن‌ها است.</w:t>
            </w:r>
          </w:p>
          <w:p w:rsidR="00F473DB" w:rsidRPr="00FA5440" w:rsidRDefault="00F473DB" w:rsidP="00F473DB">
            <w:pPr>
              <w:pStyle w:val="ListParagraph"/>
              <w:numPr>
                <w:ilvl w:val="0"/>
                <w:numId w:val="5"/>
              </w:numPr>
              <w:pBdr>
                <w:bottom w:val="single" w:sz="4" w:space="1" w:color="auto"/>
              </w:pBdr>
              <w:jc w:val="both"/>
              <w:rPr>
                <w:rFonts w:cs="B Lotus"/>
                <w:sz w:val="32"/>
                <w:szCs w:val="32"/>
              </w:rPr>
            </w:pPr>
            <w:r w:rsidRPr="00FA5440">
              <w:rPr>
                <w:rFonts w:cs="B Lotus" w:hint="cs"/>
                <w:sz w:val="28"/>
                <w:szCs w:val="28"/>
                <w:rtl/>
              </w:rPr>
              <w:t>منظور از رشته تخصصی</w:t>
            </w:r>
            <w:r>
              <w:rPr>
                <w:rFonts w:cs="B Lotus" w:hint="cs"/>
                <w:sz w:val="28"/>
                <w:szCs w:val="28"/>
                <w:rtl/>
              </w:rPr>
              <w:t>، رشته‌های سطح 4 مصوب مرکز مدیریت حوزه‌های علمیه است که در قالب «درختواره رشته‌های تخصصی حوزه» منتشر شده و قبلاً در گروه تخصص احیای عاصمه بارگذاری شده است. هر رشته سطح 4 دارای 36 واحد در طی 4 سال است که پس از گذراندن این واحدها و دفاع از تز سطح 4، فرد می تواند مدرک سطح 4 که نام رشته تخصصی در آن درج شده را دریافت نماید. (نحوه تعریف و تصویب سرفصلها و ارزیابی هر سطح در آینده بیان خواهد شد).</w:t>
            </w:r>
          </w:p>
          <w:p w:rsidR="00F473DB" w:rsidRPr="00FA5440" w:rsidRDefault="00F473DB" w:rsidP="00D047A6">
            <w:pPr>
              <w:pStyle w:val="ListParagraph"/>
              <w:numPr>
                <w:ilvl w:val="0"/>
                <w:numId w:val="5"/>
              </w:numPr>
              <w:pBdr>
                <w:bottom w:val="single" w:sz="4" w:space="1" w:color="auto"/>
              </w:pBdr>
              <w:jc w:val="both"/>
              <w:rPr>
                <w:rFonts w:cs="B Lotus"/>
                <w:sz w:val="32"/>
                <w:szCs w:val="32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انجمن‌های تخصصی در واقع به تعدادی از طلاب که در یک </w:t>
            </w:r>
            <w:r w:rsidR="00D047A6">
              <w:rPr>
                <w:rFonts w:cs="B Lotus" w:hint="cs"/>
                <w:sz w:val="28"/>
                <w:szCs w:val="28"/>
                <w:rtl/>
              </w:rPr>
              <w:t>عرصه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خاص علاقمند به فعالیت هستند و فعلاً نمی‌خواهند لزوماً وارد رشته تخ</w:t>
            </w:r>
            <w:r w:rsidR="00D047A6">
              <w:rPr>
                <w:rFonts w:cs="B Lotus" w:hint="cs"/>
                <w:sz w:val="28"/>
                <w:szCs w:val="28"/>
                <w:rtl/>
              </w:rPr>
              <w:t>صصی مصوب حوزه شون</w:t>
            </w:r>
            <w:r w:rsidR="00823874">
              <w:rPr>
                <w:rFonts w:cs="B Lotus" w:hint="cs"/>
                <w:sz w:val="28"/>
                <w:szCs w:val="28"/>
                <w:rtl/>
              </w:rPr>
              <w:t>د اطلاق می‌شود. این طلاب حداکثر 3 سال (از ابتدای ورود به دوره تخصص) ف</w:t>
            </w:r>
            <w:bookmarkStart w:id="0" w:name="_GoBack"/>
            <w:bookmarkEnd w:id="0"/>
            <w:r w:rsidR="00823874">
              <w:rPr>
                <w:rFonts w:cs="B Lotus" w:hint="cs"/>
                <w:sz w:val="28"/>
                <w:szCs w:val="28"/>
                <w:rtl/>
              </w:rPr>
              <w:t>رصت دارند تا رشته تخصصی خود را انتخاب نمایند.</w:t>
            </w:r>
          </w:p>
          <w:p w:rsidR="00F473DB" w:rsidRPr="00EF5B66" w:rsidRDefault="00F473DB" w:rsidP="00F473DB">
            <w:pPr>
              <w:pStyle w:val="ListParagraph"/>
              <w:numPr>
                <w:ilvl w:val="0"/>
                <w:numId w:val="5"/>
              </w:numPr>
              <w:pBdr>
                <w:bottom w:val="single" w:sz="4" w:space="1" w:color="auto"/>
              </w:pBdr>
              <w:jc w:val="both"/>
              <w:rPr>
                <w:rFonts w:cs="B Nazanin"/>
                <w:noProof/>
                <w:color w:val="2F5496" w:themeColor="accent5" w:themeShade="BF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یکی از ملزومات حتمی تصویب رشته‌ها و انجمن‌های تخصصی در مشکوة و خارج مشکوة، داشتنِ استاد ناظر است. استاد ناظر برای رشته‌های سطح 4 باید حتماً مدرک سطح 4 تخصصی مرتبط با رشته را داشته باشد اما استاد ناظر انجمن علمی لازم نیست مدرک سطح 4 داشته باشد هرچند تخصص و قابلیت ایشان باید احراز شود.</w:t>
            </w:r>
          </w:p>
        </w:tc>
      </w:tr>
      <w:tr w:rsidR="006B0435" w:rsidRPr="00DC0DEE" w:rsidTr="00F473DB">
        <w:trPr>
          <w:trHeight w:val="4056"/>
          <w:jc w:val="center"/>
        </w:trPr>
        <w:tc>
          <w:tcPr>
            <w:tcW w:w="10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5B66" w:rsidRDefault="006B0435" w:rsidP="00F473DB">
            <w:pPr>
              <w:pStyle w:val="ListParagraph"/>
              <w:ind w:left="375"/>
              <w:jc w:val="both"/>
              <w:rPr>
                <w:rFonts w:cs="B Lotus"/>
                <w:sz w:val="28"/>
                <w:szCs w:val="28"/>
                <w:rtl/>
              </w:rPr>
            </w:pPr>
            <w:r w:rsidRPr="006B0435">
              <w:rPr>
                <w:rFonts w:cs="B Lotus" w:hint="cs"/>
                <w:sz w:val="32"/>
                <w:szCs w:val="32"/>
                <w:rtl/>
              </w:rPr>
              <w:t xml:space="preserve"> </w:t>
            </w:r>
          </w:p>
          <w:p w:rsidR="00EF5B66" w:rsidRDefault="00F473DB" w:rsidP="00F473D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  <w:r w:rsidRPr="00F473DB">
              <w:rPr>
                <w:rFonts w:cs="B Lotus" w:hint="cs"/>
                <w:color w:val="C00000"/>
                <w:sz w:val="28"/>
                <w:szCs w:val="28"/>
                <w:rtl/>
              </w:rPr>
              <w:t>عنوان انجمن یا رشته: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‌ </w:t>
            </w:r>
          </w:p>
          <w:p w:rsidR="00F473DB" w:rsidRDefault="00F473DB" w:rsidP="00F473D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</w:p>
          <w:p w:rsidR="00EF5B66" w:rsidRDefault="00EF5B66" w:rsidP="00EF5B66">
            <w:pPr>
              <w:pStyle w:val="ListParagraph"/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</w:p>
          <w:p w:rsidR="00F473DB" w:rsidRPr="00F473DB" w:rsidRDefault="00F473DB" w:rsidP="00F473D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  <w:r w:rsidRPr="00F473DB">
              <w:rPr>
                <w:rFonts w:cs="B Lotus" w:hint="cs"/>
                <w:color w:val="C00000"/>
                <w:sz w:val="28"/>
                <w:szCs w:val="28"/>
                <w:rtl/>
              </w:rPr>
              <w:t>استاد ناظر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:‌ </w:t>
            </w:r>
          </w:p>
          <w:p w:rsidR="00F473DB" w:rsidRDefault="00F473DB" w:rsidP="00F473DB">
            <w:pPr>
              <w:pStyle w:val="ListParagraph"/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</w:p>
          <w:p w:rsidR="00F473DB" w:rsidRDefault="00F473DB" w:rsidP="00F473D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  <w:r w:rsidRPr="00F473DB">
              <w:rPr>
                <w:rFonts w:cs="B Lotus" w:hint="cs"/>
                <w:color w:val="C00000"/>
                <w:sz w:val="28"/>
                <w:szCs w:val="28"/>
                <w:rtl/>
              </w:rPr>
              <w:t>دبیر انجمن یا رشته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:‌ </w:t>
            </w:r>
          </w:p>
          <w:p w:rsidR="00F473DB" w:rsidRDefault="00F473DB" w:rsidP="00F473DB">
            <w:pPr>
              <w:pStyle w:val="ListParagraph"/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</w:p>
          <w:p w:rsidR="00F473DB" w:rsidRDefault="00F473DB" w:rsidP="00F473D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  <w:r w:rsidRPr="00F473DB">
              <w:rPr>
                <w:rFonts w:cs="B Lotus" w:hint="cs"/>
                <w:color w:val="C00000"/>
                <w:sz w:val="28"/>
                <w:szCs w:val="28"/>
                <w:rtl/>
              </w:rPr>
              <w:t>بیان مأموریت یا هدف خاص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:‌ </w:t>
            </w:r>
          </w:p>
          <w:p w:rsidR="00F473DB" w:rsidRDefault="00F473DB" w:rsidP="00F473D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</w:p>
          <w:p w:rsidR="00823874" w:rsidRPr="00F473DB" w:rsidRDefault="00823874" w:rsidP="00F473DB">
            <w:pPr>
              <w:ind w:right="47"/>
              <w:jc w:val="both"/>
              <w:rPr>
                <w:rFonts w:cs="B Lotus"/>
                <w:sz w:val="28"/>
                <w:szCs w:val="28"/>
                <w:rtl/>
              </w:rPr>
            </w:pPr>
          </w:p>
          <w:p w:rsidR="00F473DB" w:rsidRDefault="00F473DB" w:rsidP="00F473D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  <w:r w:rsidRPr="00F473DB">
              <w:rPr>
                <w:rFonts w:cs="B Lotus" w:hint="cs"/>
                <w:color w:val="C00000"/>
                <w:sz w:val="28"/>
                <w:szCs w:val="28"/>
                <w:rtl/>
              </w:rPr>
              <w:t>تیتر سرفصل‌های اصلی درس‌های تخصصی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:‌ </w:t>
            </w:r>
          </w:p>
          <w:p w:rsidR="00F473DB" w:rsidRDefault="00F473DB" w:rsidP="00F473D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</w:p>
          <w:p w:rsidR="00F473DB" w:rsidRDefault="00F473DB" w:rsidP="00F473DB">
            <w:pPr>
              <w:pStyle w:val="ListParagraph"/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</w:p>
          <w:p w:rsidR="00F473DB" w:rsidRDefault="00F473DB" w:rsidP="00F473D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  <w:r w:rsidRPr="00F473DB">
              <w:rPr>
                <w:rFonts w:cs="B Lotus" w:hint="cs"/>
                <w:color w:val="C00000"/>
                <w:sz w:val="28"/>
                <w:szCs w:val="28"/>
                <w:rtl/>
              </w:rPr>
              <w:t>اعضای انجمن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:‌ </w:t>
            </w:r>
          </w:p>
          <w:p w:rsidR="00F473DB" w:rsidRDefault="00F473DB" w:rsidP="00F473D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1- </w:t>
            </w:r>
          </w:p>
          <w:p w:rsidR="00F473DB" w:rsidRDefault="00F473DB" w:rsidP="00F473D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2- </w:t>
            </w:r>
          </w:p>
          <w:p w:rsidR="00F473DB" w:rsidRDefault="00F473DB" w:rsidP="00F473D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3- </w:t>
            </w:r>
          </w:p>
          <w:p w:rsidR="00F473DB" w:rsidRDefault="00F473DB" w:rsidP="00F473D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4- </w:t>
            </w:r>
          </w:p>
          <w:p w:rsidR="00F473DB" w:rsidRDefault="00F473DB" w:rsidP="00F473D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5- </w:t>
            </w:r>
          </w:p>
          <w:p w:rsidR="00F473DB" w:rsidRDefault="00F473DB" w:rsidP="00F473D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6- </w:t>
            </w:r>
          </w:p>
          <w:p w:rsidR="00F473DB" w:rsidRDefault="00F473DB" w:rsidP="00F473DB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right="47"/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7- </w:t>
            </w:r>
          </w:p>
          <w:p w:rsidR="00F473DB" w:rsidRDefault="00F473DB" w:rsidP="00F473DB">
            <w:pPr>
              <w:pStyle w:val="ListParagraph"/>
              <w:jc w:val="both"/>
              <w:rPr>
                <w:rFonts w:cs="B Lotus"/>
                <w:sz w:val="28"/>
                <w:szCs w:val="28"/>
                <w:rtl/>
              </w:rPr>
            </w:pPr>
          </w:p>
          <w:p w:rsidR="00EF5B66" w:rsidRDefault="00EF5B66" w:rsidP="00EF5B66">
            <w:pPr>
              <w:pStyle w:val="ListParagraph"/>
              <w:jc w:val="both"/>
              <w:rPr>
                <w:rFonts w:cs="B Lotus"/>
                <w:sz w:val="28"/>
                <w:szCs w:val="28"/>
                <w:rtl/>
              </w:rPr>
            </w:pPr>
          </w:p>
          <w:p w:rsidR="00EF5B66" w:rsidRPr="00EF5B66" w:rsidRDefault="00EF5B66" w:rsidP="00EF5B66">
            <w:pPr>
              <w:pStyle w:val="ListParagraph"/>
              <w:jc w:val="both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0E7163" w:rsidRPr="008F54E6" w:rsidRDefault="000E7163" w:rsidP="00F473DB">
      <w:pPr>
        <w:spacing w:before="100" w:beforeAutospacing="1" w:after="100" w:afterAutospacing="1" w:line="180" w:lineRule="auto"/>
        <w:jc w:val="center"/>
        <w:rPr>
          <w:rFonts w:cs="B Lotus"/>
          <w:sz w:val="32"/>
          <w:szCs w:val="32"/>
        </w:rPr>
      </w:pPr>
    </w:p>
    <w:sectPr w:rsidR="000E7163" w:rsidRPr="008F54E6" w:rsidSect="00823874">
      <w:pgSz w:w="11906" w:h="16838"/>
      <w:pgMar w:top="568" w:right="424" w:bottom="993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eZohoor 1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17CB"/>
    <w:multiLevelType w:val="hybridMultilevel"/>
    <w:tmpl w:val="03A64348"/>
    <w:lvl w:ilvl="0" w:tplc="512C69F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66E8"/>
    <w:multiLevelType w:val="hybridMultilevel"/>
    <w:tmpl w:val="2216E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80234"/>
    <w:multiLevelType w:val="hybridMultilevel"/>
    <w:tmpl w:val="99CEE480"/>
    <w:lvl w:ilvl="0" w:tplc="2CD2FC02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AB7482A"/>
    <w:multiLevelType w:val="hybridMultilevel"/>
    <w:tmpl w:val="75FC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087F"/>
    <w:multiLevelType w:val="hybridMultilevel"/>
    <w:tmpl w:val="3EF84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B2"/>
    <w:rsid w:val="000B3BC0"/>
    <w:rsid w:val="000D0DA7"/>
    <w:rsid w:val="000E7163"/>
    <w:rsid w:val="001B5AB2"/>
    <w:rsid w:val="00282BCB"/>
    <w:rsid w:val="00306A1F"/>
    <w:rsid w:val="003235F9"/>
    <w:rsid w:val="003270F1"/>
    <w:rsid w:val="0034167D"/>
    <w:rsid w:val="00345538"/>
    <w:rsid w:val="003D48F0"/>
    <w:rsid w:val="003E07A7"/>
    <w:rsid w:val="0042784D"/>
    <w:rsid w:val="004637BC"/>
    <w:rsid w:val="004B1D57"/>
    <w:rsid w:val="004C1FF0"/>
    <w:rsid w:val="0054443D"/>
    <w:rsid w:val="006A026A"/>
    <w:rsid w:val="006B0435"/>
    <w:rsid w:val="00735081"/>
    <w:rsid w:val="00792529"/>
    <w:rsid w:val="007A344E"/>
    <w:rsid w:val="007E51DE"/>
    <w:rsid w:val="00823874"/>
    <w:rsid w:val="00876522"/>
    <w:rsid w:val="008E1B40"/>
    <w:rsid w:val="008F54E6"/>
    <w:rsid w:val="008F699C"/>
    <w:rsid w:val="00921526"/>
    <w:rsid w:val="00923FE6"/>
    <w:rsid w:val="00A42A4F"/>
    <w:rsid w:val="00A4349B"/>
    <w:rsid w:val="00A470EA"/>
    <w:rsid w:val="00AA5EC3"/>
    <w:rsid w:val="00AA694A"/>
    <w:rsid w:val="00B6577D"/>
    <w:rsid w:val="00C627F4"/>
    <w:rsid w:val="00C77066"/>
    <w:rsid w:val="00C96C1B"/>
    <w:rsid w:val="00D047A6"/>
    <w:rsid w:val="00E13E24"/>
    <w:rsid w:val="00EE7B72"/>
    <w:rsid w:val="00EF5B66"/>
    <w:rsid w:val="00F37E44"/>
    <w:rsid w:val="00F473DB"/>
    <w:rsid w:val="00FA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1B61"/>
  <w15:docId w15:val="{1EFEB87F-C211-4C23-9743-75A4C372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A42A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A42A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42A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42A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42A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42A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E07A7"/>
    <w:rPr>
      <w:color w:val="808080"/>
    </w:rPr>
  </w:style>
  <w:style w:type="paragraph" w:styleId="ListParagraph">
    <w:name w:val="List Paragraph"/>
    <w:basedOn w:val="Normal"/>
    <w:uiPriority w:val="34"/>
    <w:qFormat/>
    <w:rsid w:val="004C1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BC1DF-E227-4D41-ACA3-00176726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286</Words>
  <Characters>1152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وحید ولوی</cp:lastModifiedBy>
  <cp:revision>9</cp:revision>
  <cp:lastPrinted>2021-07-15T17:45:00Z</cp:lastPrinted>
  <dcterms:created xsi:type="dcterms:W3CDTF">2021-07-15T16:09:00Z</dcterms:created>
  <dcterms:modified xsi:type="dcterms:W3CDTF">2021-11-04T06:03:00Z</dcterms:modified>
</cp:coreProperties>
</file>